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1A64E" w14:textId="77777777" w:rsidR="00770051" w:rsidRDefault="00770051" w:rsidP="00770051">
      <w:pPr>
        <w:spacing w:line="360" w:lineRule="auto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循環經濟研究學院</w:t>
      </w:r>
    </w:p>
    <w:p w14:paraId="2918A9CC" w14:textId="77777777" w:rsidR="006B091A" w:rsidRPr="00BE5175" w:rsidRDefault="006B091A" w:rsidP="006B091A">
      <w:pPr>
        <w:pStyle w:val="a6"/>
        <w:numPr>
          <w:ilvl w:val="0"/>
          <w:numId w:val="1"/>
        </w:numPr>
        <w:spacing w:beforeLines="50" w:before="180" w:line="320" w:lineRule="atLeast"/>
        <w:ind w:leftChars="0" w:left="821" w:hanging="821"/>
        <w:rPr>
          <w:rFonts w:ascii="Times New Roman" w:eastAsia="標楷體" w:hAnsi="Times New Roman"/>
          <w:b/>
          <w:sz w:val="26"/>
          <w:szCs w:val="26"/>
          <w:lang w:eastAsia="zh-HK"/>
        </w:rPr>
      </w:pPr>
      <w:r w:rsidRPr="00BE5175">
        <w:rPr>
          <w:rFonts w:ascii="Times New Roman" w:eastAsia="標楷體" w:hAnsi="Times New Roman"/>
          <w:b/>
          <w:sz w:val="26"/>
          <w:szCs w:val="26"/>
          <w:lang w:eastAsia="zh-HK"/>
        </w:rPr>
        <w:t>循環經濟研究學院</w:t>
      </w:r>
    </w:p>
    <w:p w14:paraId="3236CE2D" w14:textId="77777777" w:rsidR="006B091A" w:rsidRPr="00BE5175" w:rsidRDefault="006B091A" w:rsidP="006B091A">
      <w:pPr>
        <w:pStyle w:val="a6"/>
        <w:numPr>
          <w:ilvl w:val="1"/>
          <w:numId w:val="1"/>
        </w:numPr>
        <w:spacing w:beforeLines="50" w:before="180" w:afterLines="50" w:after="180" w:line="320" w:lineRule="atLeast"/>
        <w:ind w:leftChars="0" w:left="1040"/>
        <w:rPr>
          <w:rFonts w:ascii="Times New Roman" w:eastAsia="標楷體" w:hAnsi="Times New Roman"/>
          <w:b/>
          <w:bCs/>
          <w:color w:val="000000" w:themeColor="text1"/>
        </w:rPr>
      </w:pPr>
      <w:r w:rsidRPr="00BE5175">
        <w:rPr>
          <w:rFonts w:ascii="Times New Roman" w:eastAsia="標楷體" w:hAnsi="Times New Roman"/>
          <w:b/>
          <w:bCs/>
          <w:color w:val="000000" w:themeColor="text1"/>
        </w:rPr>
        <w:t>人才培育規劃</w:t>
      </w:r>
    </w:p>
    <w:p w14:paraId="7B9070BB" w14:textId="77777777" w:rsidR="006B091A" w:rsidRPr="00BE5175" w:rsidRDefault="006B091A" w:rsidP="006B091A">
      <w:pPr>
        <w:pStyle w:val="a6"/>
        <w:numPr>
          <w:ilvl w:val="0"/>
          <w:numId w:val="2"/>
        </w:numPr>
        <w:spacing w:line="320" w:lineRule="atLeast"/>
        <w:ind w:leftChars="0" w:rightChars="42" w:right="101" w:hanging="619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課程規劃定期調整：完整提供學生跨領域及自主學習機會，提升學生邏輯思維與問題解決能力，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112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年度共召開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8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次課程委員會，整體討論學程及院的課程方向，適時調整課程。</w:t>
      </w:r>
    </w:p>
    <w:p w14:paraId="6F41B4B6" w14:textId="77777777" w:rsidR="006B091A" w:rsidRPr="00BE5175" w:rsidRDefault="006B091A" w:rsidP="006B091A">
      <w:pPr>
        <w:pStyle w:val="a6"/>
        <w:numPr>
          <w:ilvl w:val="0"/>
          <w:numId w:val="2"/>
        </w:numPr>
        <w:spacing w:line="320" w:lineRule="atLeast"/>
        <w:ind w:leftChars="0" w:rightChars="42" w:right="101" w:hanging="619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課程開設：在各學程的合聘教師與專任教師指導下，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112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年度開設共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64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門的跨領域課程，供學院碩、博士生修習，以發展個人學術專長，培養專業能力。</w:t>
      </w:r>
    </w:p>
    <w:p w14:paraId="46BE90D8" w14:textId="77777777" w:rsidR="006B091A" w:rsidRPr="00BE5175" w:rsidRDefault="006B091A" w:rsidP="006B091A">
      <w:pPr>
        <w:pStyle w:val="a6"/>
        <w:numPr>
          <w:ilvl w:val="0"/>
          <w:numId w:val="2"/>
        </w:numPr>
        <w:spacing w:line="320" w:lineRule="atLeast"/>
        <w:ind w:leftChars="0" w:rightChars="42" w:right="101" w:hanging="619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注重理論與實務之結合：擴充產、官、學各界長官及專家進行實務經驗分享與訓練，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112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年度已邀請各企業主管、研究機關及各校學者專家進行專題講座，共計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36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場次。</w:t>
      </w:r>
    </w:p>
    <w:p w14:paraId="17C78982" w14:textId="77777777" w:rsidR="006B091A" w:rsidRPr="00BE5175" w:rsidRDefault="006B091A" w:rsidP="006B091A">
      <w:pPr>
        <w:pStyle w:val="a6"/>
        <w:numPr>
          <w:ilvl w:val="0"/>
          <w:numId w:val="2"/>
        </w:numPr>
        <w:spacing w:line="320" w:lineRule="atLeast"/>
        <w:ind w:leftChars="0" w:rightChars="42" w:right="101" w:hanging="619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推動產學合作計畫：辦理跨領域產學研究計畫，帶領學生共同執行，增加學生於跨領域學習研究之機會，擴展更多跨領域學習與交流，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112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年度執行產學合作計畫共計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56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件。</w:t>
      </w:r>
    </w:p>
    <w:p w14:paraId="5CF30E4D" w14:textId="77777777" w:rsidR="006B091A" w:rsidRPr="00BE5175" w:rsidRDefault="006B091A" w:rsidP="006B091A">
      <w:pPr>
        <w:pStyle w:val="a6"/>
        <w:numPr>
          <w:ilvl w:val="1"/>
          <w:numId w:val="1"/>
        </w:numPr>
        <w:spacing w:beforeLines="50" w:before="180" w:afterLines="50" w:after="180" w:line="320" w:lineRule="atLeast"/>
        <w:ind w:leftChars="0" w:left="1040"/>
        <w:rPr>
          <w:rFonts w:ascii="Times New Roman" w:eastAsia="標楷體" w:hAnsi="Times New Roman"/>
          <w:b/>
          <w:bCs/>
          <w:color w:val="000000" w:themeColor="text1"/>
        </w:rPr>
      </w:pPr>
      <w:r w:rsidRPr="00BE5175">
        <w:rPr>
          <w:rFonts w:ascii="Times New Roman" w:eastAsia="標楷體" w:hAnsi="Times New Roman"/>
          <w:b/>
          <w:bCs/>
          <w:color w:val="000000" w:themeColor="text1"/>
        </w:rPr>
        <w:t>學院整體目標</w:t>
      </w:r>
    </w:p>
    <w:p w14:paraId="73788426" w14:textId="77777777" w:rsidR="006B091A" w:rsidRPr="00BE5175" w:rsidRDefault="006B091A" w:rsidP="006B091A">
      <w:pPr>
        <w:pStyle w:val="a6"/>
        <w:numPr>
          <w:ilvl w:val="0"/>
          <w:numId w:val="3"/>
        </w:numPr>
        <w:spacing w:line="320" w:lineRule="atLeast"/>
        <w:ind w:leftChars="0" w:rightChars="42" w:right="101" w:hanging="619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招生狀況：每年招生名額共計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90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位碩、博士生，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112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學年度招生錄取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79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名，招生率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88%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。</w:t>
      </w:r>
    </w:p>
    <w:p w14:paraId="7172A062" w14:textId="77777777" w:rsidR="006B091A" w:rsidRPr="00BE5175" w:rsidRDefault="006B091A" w:rsidP="006B091A">
      <w:pPr>
        <w:pStyle w:val="a6"/>
        <w:numPr>
          <w:ilvl w:val="0"/>
          <w:numId w:val="3"/>
        </w:numPr>
        <w:spacing w:line="320" w:lineRule="atLeast"/>
        <w:ind w:leftChars="0" w:rightChars="42" w:right="101" w:hanging="619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學生實習：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112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年度辦理學生至正瀚生技股份有限公司實習，計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1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名學生參與；辦理學生至台積電公司實習，計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15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名學生參與。</w:t>
      </w:r>
    </w:p>
    <w:p w14:paraId="557FD619" w14:textId="77777777" w:rsidR="006B091A" w:rsidRPr="00BE5175" w:rsidRDefault="006B091A" w:rsidP="006B091A">
      <w:pPr>
        <w:pStyle w:val="a6"/>
        <w:numPr>
          <w:ilvl w:val="0"/>
          <w:numId w:val="3"/>
        </w:numPr>
        <w:spacing w:line="320" w:lineRule="atLeast"/>
        <w:ind w:leftChars="0" w:rightChars="42" w:right="101" w:hanging="619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國際學術交流：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112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年度學生至美國參與國際論壇發表論文，計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1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名；學生於臺灣參與國際研討會發表論文，計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1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名。</w:t>
      </w:r>
    </w:p>
    <w:p w14:paraId="244558B9" w14:textId="77777777" w:rsidR="006B091A" w:rsidRPr="00BE5175" w:rsidRDefault="006B091A" w:rsidP="006B091A">
      <w:pPr>
        <w:pStyle w:val="a6"/>
        <w:numPr>
          <w:ilvl w:val="0"/>
          <w:numId w:val="3"/>
        </w:numPr>
        <w:spacing w:line="320" w:lineRule="atLeast"/>
        <w:ind w:leftChars="0" w:rightChars="42" w:right="101" w:hanging="619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引領全國循環經濟：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112</w:t>
      </w:r>
      <w:r w:rsidRPr="00BE5175">
        <w:rPr>
          <w:rFonts w:ascii="Times New Roman" w:eastAsia="標楷體" w:hAnsi="Times New Roman"/>
          <w:bCs/>
          <w:color w:val="000000" w:themeColor="text1"/>
          <w:szCs w:val="24"/>
        </w:rPr>
        <w:t>年度與全國農業金庫共同舉辦「綠色金融邁向淨零：農業金庫和青年農民支持淨零排放」倡議活動與研討會；與財團法人台灣經濟研究院、財團法人農業科技研究院共同辦理「培育循環農業跨域人才種子講師及輔導員教育訓練」。</w:t>
      </w:r>
    </w:p>
    <w:p w14:paraId="42FF355F" w14:textId="77777777" w:rsidR="001C6F1A" w:rsidRPr="006B091A" w:rsidRDefault="001C6F1A" w:rsidP="00A769E4">
      <w:pPr>
        <w:spacing w:line="360" w:lineRule="auto"/>
        <w:rPr>
          <w:rFonts w:ascii="標楷體" w:eastAsia="標楷體" w:hAnsi="標楷體"/>
        </w:rPr>
      </w:pPr>
    </w:p>
    <w:sectPr w:rsidR="001C6F1A" w:rsidRPr="006B091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03E9D"/>
    <w:multiLevelType w:val="hybridMultilevel"/>
    <w:tmpl w:val="A7EEF174"/>
    <w:lvl w:ilvl="0" w:tplc="732E3C3C">
      <w:start w:val="1"/>
      <w:numFmt w:val="decimal"/>
      <w:lvlText w:val="（%1）"/>
      <w:lvlJc w:val="left"/>
      <w:pPr>
        <w:ind w:left="1440" w:hanging="48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240" w:hanging="480"/>
      </w:pPr>
    </w:lvl>
    <w:lvl w:ilvl="2" w:tplc="0409001B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1" w15:restartNumberingAfterBreak="0">
    <w:nsid w:val="503A7BD4"/>
    <w:multiLevelType w:val="hybridMultilevel"/>
    <w:tmpl w:val="A7EEF174"/>
    <w:lvl w:ilvl="0" w:tplc="732E3C3C">
      <w:start w:val="1"/>
      <w:numFmt w:val="decimal"/>
      <w:lvlText w:val="（%1）"/>
      <w:lvlJc w:val="left"/>
      <w:pPr>
        <w:ind w:left="1440" w:hanging="48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240" w:hanging="480"/>
      </w:pPr>
    </w:lvl>
    <w:lvl w:ilvl="2" w:tplc="0409001B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2" w15:restartNumberingAfterBreak="0">
    <w:nsid w:val="71E40265"/>
    <w:multiLevelType w:val="hybridMultilevel"/>
    <w:tmpl w:val="E486AF04"/>
    <w:lvl w:ilvl="0" w:tplc="504CC520">
      <w:start w:val="7"/>
      <w:numFmt w:val="taiwaneseCountingThousand"/>
      <w:lvlText w:val="（%1）"/>
      <w:lvlJc w:val="left"/>
      <w:pPr>
        <w:ind w:left="370" w:hanging="480"/>
      </w:pPr>
      <w:rPr>
        <w:rFonts w:hint="default"/>
        <w:sz w:val="26"/>
      </w:rPr>
    </w:lvl>
    <w:lvl w:ilvl="1" w:tplc="E2208E6E">
      <w:start w:val="1"/>
      <w:numFmt w:val="decimal"/>
      <w:lvlText w:val="%2."/>
      <w:lvlJc w:val="left"/>
      <w:pPr>
        <w:ind w:left="73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330" w:hanging="480"/>
      </w:pPr>
    </w:lvl>
    <w:lvl w:ilvl="3" w:tplc="0409000F" w:tentative="1">
      <w:start w:val="1"/>
      <w:numFmt w:val="decimal"/>
      <w:lvlText w:val="%4."/>
      <w:lvlJc w:val="left"/>
      <w:pPr>
        <w:ind w:left="18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90" w:hanging="480"/>
      </w:pPr>
    </w:lvl>
    <w:lvl w:ilvl="5" w:tplc="0409001B" w:tentative="1">
      <w:start w:val="1"/>
      <w:numFmt w:val="lowerRoman"/>
      <w:lvlText w:val="%6."/>
      <w:lvlJc w:val="right"/>
      <w:pPr>
        <w:ind w:left="2770" w:hanging="480"/>
      </w:pPr>
    </w:lvl>
    <w:lvl w:ilvl="6" w:tplc="0409000F" w:tentative="1">
      <w:start w:val="1"/>
      <w:numFmt w:val="decimal"/>
      <w:lvlText w:val="%7."/>
      <w:lvlJc w:val="left"/>
      <w:pPr>
        <w:ind w:left="32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30" w:hanging="480"/>
      </w:pPr>
    </w:lvl>
    <w:lvl w:ilvl="8" w:tplc="0409001B" w:tentative="1">
      <w:start w:val="1"/>
      <w:numFmt w:val="lowerRoman"/>
      <w:lvlText w:val="%9."/>
      <w:lvlJc w:val="right"/>
      <w:pPr>
        <w:ind w:left="421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9E4"/>
    <w:rsid w:val="000A2945"/>
    <w:rsid w:val="00170AA8"/>
    <w:rsid w:val="001C6F1A"/>
    <w:rsid w:val="005913F1"/>
    <w:rsid w:val="0064712E"/>
    <w:rsid w:val="006B091A"/>
    <w:rsid w:val="006B41B2"/>
    <w:rsid w:val="00770051"/>
    <w:rsid w:val="00823FC1"/>
    <w:rsid w:val="00A36215"/>
    <w:rsid w:val="00A769E4"/>
    <w:rsid w:val="00C61DF3"/>
    <w:rsid w:val="00C7483A"/>
    <w:rsid w:val="00E0768F"/>
    <w:rsid w:val="00ED2161"/>
    <w:rsid w:val="00F4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74064"/>
  <w15:chartTrackingRefBased/>
  <w15:docId w15:val="{1B8D6E65-CA95-4795-B6FF-2B7E61096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5913F1"/>
  </w:style>
  <w:style w:type="paragraph" w:styleId="a4">
    <w:name w:val="Balloon Text"/>
    <w:basedOn w:val="a"/>
    <w:link w:val="a5"/>
    <w:uiPriority w:val="99"/>
    <w:semiHidden/>
    <w:unhideWhenUsed/>
    <w:rsid w:val="006471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4712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aliases w:val="標1"/>
    <w:basedOn w:val="a"/>
    <w:uiPriority w:val="34"/>
    <w:qFormat/>
    <w:rsid w:val="006B091A"/>
    <w:pPr>
      <w:widowControl/>
      <w:ind w:leftChars="200" w:left="480"/>
      <w:jc w:val="both"/>
    </w:pPr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Lily J.</cp:lastModifiedBy>
  <cp:revision>2</cp:revision>
  <dcterms:created xsi:type="dcterms:W3CDTF">2024-11-07T01:07:00Z</dcterms:created>
  <dcterms:modified xsi:type="dcterms:W3CDTF">2024-11-07T01:07:00Z</dcterms:modified>
</cp:coreProperties>
</file>